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rtl w:val="0"/>
        </w:rPr>
        <w:t xml:space="preserve">Unit 1: Awareness of Employment in the Creative Media Sector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Unit code: L/600/9037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QCF level: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Credit value: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Guided learning hours: 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Unit aim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aim of this unit is to prepare the learner with an awareness of employment status and the employment market place within the Creative Media sector. The learner will also learn how to promote their CV and work to employers.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Learning outcomes and assessment criteria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order to pass this unit, the evidence that the learner presents for assessment needs to demonstrate that they can meet all the learning outcomes for the unit. The assessment criteria determine the standard required to achieve the unit.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completion of this unit a learner should: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Learning outcomes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Assessment criteria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Know about employment status in the Creative Media sector</w:t>
      </w:r>
    </w:p>
    <w:p w:rsidR="00000000" w:rsidDel="00000000" w:rsidP="00000000" w:rsidRDefault="00000000" w:rsidRPr="00000000">
      <w:pPr>
        <w:contextualSpacing w:val="0"/>
      </w:pPr>
      <w:r w:rsidDel="00000000" w:rsidR="00000000" w:rsidRPr="00000000">
        <w:rPr>
          <w:rtl w:val="0"/>
        </w:rPr>
        <w:t xml:space="preserve">2 Understand the Creative Media employment marketplace</w:t>
      </w:r>
    </w:p>
    <w:p w:rsidR="00000000" w:rsidDel="00000000" w:rsidP="00000000" w:rsidRDefault="00000000" w:rsidRPr="00000000">
      <w:pPr>
        <w:contextualSpacing w:val="0"/>
      </w:pPr>
      <w:r w:rsidDel="00000000" w:rsidR="00000000" w:rsidRPr="00000000">
        <w:rPr>
          <w:rtl w:val="0"/>
        </w:rPr>
        <w:t xml:space="preserve">3 Be able to promote 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 Know about employment status in the Creative Media sector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 Describe the main types of employment status within the Creative Media sector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Describe the key legal and taxation differences between main types of employment status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1.3 Explain the main implications of each employment status, in relation to job security, flexibility and working patterns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Understand the Creative Media employment marketplace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2.1 Describe a range of prospective employers and the profiles and products of these employers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2.2 Explain how to choose an employer in terms of own personal interests, knowledge, skills and job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Be able to promote 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3.1 Create and present a professional standard CV, with examples of own work, relevant to a specific job application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3.2 Discuss strengths and weaknesses in relation to own work and a specific job application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3.3 Describe and pitch a creative idea to an employer or commissioner</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